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5" w:rsidRPr="00275BAF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36B5" w:rsidRPr="00275BA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4061F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E4D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AB36B5" w:rsidRPr="00275BAF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4061F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ED6163">
        <w:rPr>
          <w:rFonts w:ascii="Times New Roman" w:hAnsi="Times New Roman" w:cs="Times New Roman"/>
          <w:b/>
          <w:bCs/>
          <w:sz w:val="28"/>
          <w:szCs w:val="28"/>
        </w:rPr>
        <w:t>Сиделькино</w:t>
      </w:r>
      <w:proofErr w:type="spellEnd"/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75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5BA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75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Челно-Вершинский </w:t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B36B5" w:rsidRPr="00275BA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A1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1A1"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36B5" w:rsidRPr="0017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DEF" w:rsidRPr="00171E75" w:rsidRDefault="00B10DEF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D9" w:rsidRPr="00B10DEF" w:rsidRDefault="00B10DEF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E75" w:rsidRPr="00B10DEF">
        <w:rPr>
          <w:rFonts w:ascii="Times New Roman" w:hAnsi="Times New Roman" w:cs="Times New Roman"/>
          <w:sz w:val="28"/>
          <w:szCs w:val="28"/>
        </w:rPr>
        <w:t>о</w:t>
      </w:r>
      <w:r w:rsidR="004971A1" w:rsidRPr="00B10DEF">
        <w:rPr>
          <w:rFonts w:ascii="Times New Roman" w:hAnsi="Times New Roman" w:cs="Times New Roman"/>
          <w:sz w:val="28"/>
          <w:szCs w:val="28"/>
        </w:rPr>
        <w:t>т</w:t>
      </w:r>
      <w:r w:rsidRPr="00B10DEF">
        <w:rPr>
          <w:rFonts w:ascii="Times New Roman" w:hAnsi="Times New Roman" w:cs="Times New Roman"/>
          <w:sz w:val="28"/>
          <w:szCs w:val="28"/>
        </w:rPr>
        <w:t xml:space="preserve"> 25 марта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16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174"/>
        <w:tblW w:w="9912" w:type="dxa"/>
        <w:tblLook w:val="00A0" w:firstRow="1" w:lastRow="0" w:firstColumn="1" w:lastColumn="0" w:noHBand="0" w:noVBand="0"/>
      </w:tblPr>
      <w:tblGrid>
        <w:gridCol w:w="5637"/>
        <w:gridCol w:w="4275"/>
      </w:tblGrid>
      <w:tr w:rsidR="00820BBA" w:rsidRPr="00AB36B5" w:rsidTr="00E4061F">
        <w:tc>
          <w:tcPr>
            <w:tcW w:w="5637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E4061F" w:rsidP="00E4061F">
            <w:pPr>
              <w:shd w:val="clear" w:color="auto" w:fill="FFFFFF"/>
              <w:tabs>
                <w:tab w:val="left" w:pos="555"/>
                <w:tab w:val="left" w:pos="525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0BBA"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820BBA"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существления банковского</w:t>
            </w:r>
            <w:r w:rsid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4971A1" w:rsidRDefault="00820BBA" w:rsidP="00E40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ED6163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 w:rsidR="00ED6163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4061F" w:rsidRPr="00171E75" w:rsidRDefault="00E4061F" w:rsidP="00E40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1A1" w:rsidRPr="00E4061F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ПОСТ</w:t>
      </w:r>
      <w:r w:rsidR="0036410E"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АНОВЛЯЕТ</w:t>
      </w:r>
      <w:r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proofErr w:type="spellStart"/>
      <w:r w:rsidR="00ED6163">
        <w:rPr>
          <w:sz w:val="28"/>
          <w:szCs w:val="28"/>
        </w:rPr>
        <w:t>Сиделькино</w:t>
      </w:r>
      <w:proofErr w:type="spellEnd"/>
      <w:r w:rsidR="00056622" w:rsidRPr="00171E75">
        <w:rPr>
          <w:sz w:val="28"/>
          <w:szCs w:val="28"/>
        </w:rPr>
        <w:t xml:space="preserve"> муниципального района </w:t>
      </w:r>
      <w:proofErr w:type="spellStart"/>
      <w:r w:rsidR="00056622" w:rsidRPr="00171E75">
        <w:rPr>
          <w:sz w:val="28"/>
          <w:szCs w:val="28"/>
        </w:rPr>
        <w:t>Челно-Вершинский</w:t>
      </w:r>
      <w:proofErr w:type="spellEnd"/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ED6163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7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6769D1" w:rsidRPr="00AB36B5" w:rsidRDefault="006769D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AB36B5" w:rsidP="006769D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</w:t>
      </w:r>
      <w:r w:rsid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6769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="00ED616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М.Н. </w:t>
      </w:r>
      <w:proofErr w:type="spellStart"/>
      <w:r w:rsidR="00ED616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Турлачев</w:t>
      </w:r>
      <w:proofErr w:type="spellEnd"/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6769D1" w:rsidRPr="00AB36B5" w:rsidRDefault="006769D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сельского </w:t>
      </w:r>
      <w:proofErr w:type="gramStart"/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поселения</w:t>
      </w:r>
      <w:r w:rsidR="006769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spellStart"/>
      <w:r w:rsidR="00ED616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Сиделькино</w:t>
      </w:r>
      <w:proofErr w:type="spellEnd"/>
      <w:proofErr w:type="gramEnd"/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</w:t>
      </w:r>
      <w:r w:rsidR="00F451F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2022 г. № </w:t>
      </w:r>
      <w:r w:rsidR="00ED616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6769D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6769D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  <w:r w:rsidR="0067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Российской Федерации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6769D1" w:rsidRDefault="006769D1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769D1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6769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ED616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Сиделькино</w:t>
      </w:r>
      <w:proofErr w:type="spellEnd"/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ED616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 2022 г. № 7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</w:t>
      </w:r>
      <w:proofErr w:type="gramStart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контрактов,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которых являются поставки товаров, выполнение работ,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сельского поселения </w:t>
      </w:r>
      <w:proofErr w:type="spellStart"/>
      <w:r w:rsidR="00ED6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Сиделькино</w:t>
      </w:r>
      <w:proofErr w:type="spellEnd"/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1E75" w:rsidRPr="00171E75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proofErr w:type="spellStart"/>
      <w:r w:rsidR="00ED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6769D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A1"/>
    <w:rsid w:val="00021E3A"/>
    <w:rsid w:val="00056622"/>
    <w:rsid w:val="0009140E"/>
    <w:rsid w:val="001021BF"/>
    <w:rsid w:val="001302C9"/>
    <w:rsid w:val="001620A6"/>
    <w:rsid w:val="00171E75"/>
    <w:rsid w:val="001F75EE"/>
    <w:rsid w:val="00241B14"/>
    <w:rsid w:val="00242A43"/>
    <w:rsid w:val="00275BAF"/>
    <w:rsid w:val="003333D4"/>
    <w:rsid w:val="003419F6"/>
    <w:rsid w:val="0036410E"/>
    <w:rsid w:val="003E40E9"/>
    <w:rsid w:val="004461F2"/>
    <w:rsid w:val="00481E0F"/>
    <w:rsid w:val="004971A1"/>
    <w:rsid w:val="004E69FD"/>
    <w:rsid w:val="0052552B"/>
    <w:rsid w:val="00541413"/>
    <w:rsid w:val="00552412"/>
    <w:rsid w:val="00562CB3"/>
    <w:rsid w:val="0057129D"/>
    <w:rsid w:val="00576DD9"/>
    <w:rsid w:val="005A5D73"/>
    <w:rsid w:val="005F7AA5"/>
    <w:rsid w:val="00612966"/>
    <w:rsid w:val="00672F5E"/>
    <w:rsid w:val="006769D1"/>
    <w:rsid w:val="006770D6"/>
    <w:rsid w:val="00695E0D"/>
    <w:rsid w:val="006A7369"/>
    <w:rsid w:val="006B0472"/>
    <w:rsid w:val="006B162E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01D23"/>
    <w:rsid w:val="008152D3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D42F5"/>
    <w:rsid w:val="009D656F"/>
    <w:rsid w:val="00A07C62"/>
    <w:rsid w:val="00A279B0"/>
    <w:rsid w:val="00A73A6D"/>
    <w:rsid w:val="00A931BF"/>
    <w:rsid w:val="00AB36B5"/>
    <w:rsid w:val="00AB5FE6"/>
    <w:rsid w:val="00AC4AAF"/>
    <w:rsid w:val="00B10DEF"/>
    <w:rsid w:val="00BA45D1"/>
    <w:rsid w:val="00BD020A"/>
    <w:rsid w:val="00BD0B35"/>
    <w:rsid w:val="00BE2E85"/>
    <w:rsid w:val="00D011A1"/>
    <w:rsid w:val="00D14779"/>
    <w:rsid w:val="00D408FE"/>
    <w:rsid w:val="00E07F18"/>
    <w:rsid w:val="00E4061F"/>
    <w:rsid w:val="00E95935"/>
    <w:rsid w:val="00ED6163"/>
    <w:rsid w:val="00F31FD4"/>
    <w:rsid w:val="00F451F3"/>
    <w:rsid w:val="00F60DA7"/>
    <w:rsid w:val="00F765FD"/>
    <w:rsid w:val="00F82045"/>
    <w:rsid w:val="00FB7125"/>
    <w:rsid w:val="00FD563F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3E8E-1066-4F88-9D7F-F511FB11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Sidelkino</cp:lastModifiedBy>
  <cp:revision>72</cp:revision>
  <cp:lastPrinted>2022-03-22T06:45:00Z</cp:lastPrinted>
  <dcterms:created xsi:type="dcterms:W3CDTF">2018-02-26T08:56:00Z</dcterms:created>
  <dcterms:modified xsi:type="dcterms:W3CDTF">2022-03-25T10:13:00Z</dcterms:modified>
</cp:coreProperties>
</file>